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5A2F982C" w:rsidR="00D82E21" w:rsidRPr="000A79EC" w:rsidRDefault="002671F0" w:rsidP="00D82E21">
                                <w:pPr>
                                  <w:rPr>
                                    <w:rFonts w:ascii="Aptos" w:hAnsi="Aptos" w:cs="Arial"/>
                                  </w:rPr>
                                </w:pPr>
                                <w:r w:rsidRPr="002671F0">
                                  <w:rPr>
                                    <w:rFonts w:ascii="Aptos" w:hAnsi="Aptos" w:cs="Arial"/>
                                  </w:rPr>
                                  <w:t xml:space="preserve">January 16, 2026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5A2F982C" w:rsidR="00D82E21" w:rsidRPr="000A79EC" w:rsidRDefault="002671F0" w:rsidP="00D82E21">
                          <w:pPr>
                            <w:rPr>
                              <w:rFonts w:ascii="Aptos" w:hAnsi="Aptos" w:cs="Arial"/>
                            </w:rPr>
                          </w:pPr>
                          <w:r w:rsidRPr="002671F0">
                            <w:rPr>
                              <w:rFonts w:ascii="Aptos" w:hAnsi="Aptos" w:cs="Arial"/>
                            </w:rPr>
                            <w:t xml:space="preserve">January 16, 2026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3B67AF4C" w14:textId="2D7CB74C" w:rsidR="00BD7DF0" w:rsidRPr="003C7166" w:rsidRDefault="00BD7DF0" w:rsidP="00BD7DF0">
      <w:pPr>
        <w:ind w:left="900" w:hanging="900"/>
        <w:rPr>
          <w:rFonts w:ascii="Aptos" w:hAnsi="Aptos" w:cs="Arial"/>
          <w:bCs/>
          <w:sz w:val="20"/>
          <w:szCs w:val="20"/>
        </w:rPr>
      </w:pPr>
      <w:r w:rsidRPr="000A79EC">
        <w:rPr>
          <w:rFonts w:ascii="Aptos" w:hAnsi="Aptos" w:cs="Arial"/>
          <w:b/>
          <w:sz w:val="20"/>
          <w:szCs w:val="20"/>
        </w:rPr>
        <w:t>Present</w:t>
      </w:r>
      <w:r>
        <w:rPr>
          <w:rFonts w:ascii="Aptos" w:hAnsi="Aptos" w:cs="Arial"/>
          <w:b/>
          <w:sz w:val="20"/>
          <w:szCs w:val="20"/>
        </w:rPr>
        <w:t>:</w:t>
      </w:r>
      <w:r w:rsidRPr="00DB2A59">
        <w:rPr>
          <w:rFonts w:ascii="Aptos" w:hAnsi="Aptos" w:cs="Arial"/>
          <w:bCs/>
          <w:sz w:val="20"/>
          <w:szCs w:val="20"/>
        </w:rPr>
        <w:t xml:space="preserve"> </w:t>
      </w:r>
      <w:r w:rsidR="001A5281">
        <w:rPr>
          <w:rFonts w:ascii="Aptos" w:hAnsi="Aptos" w:cs="Arial"/>
          <w:bCs/>
          <w:sz w:val="20"/>
          <w:szCs w:val="20"/>
        </w:rPr>
        <w:tab/>
      </w:r>
      <w:r w:rsidR="001A5281" w:rsidRPr="001A5281">
        <w:rPr>
          <w:rFonts w:ascii="Aptos" w:hAnsi="Aptos" w:cs="Arial"/>
          <w:bCs/>
          <w:sz w:val="20"/>
          <w:szCs w:val="20"/>
        </w:rPr>
        <w:t>Keely Baca, Nora Brodnicki (Co-Chair), Armetta Burney, Debra Carino, Elizabeth Carney, Virginia Chambers, Amanda Coffey, Ephanie Debey, Ada Echevarria, Megan Feagles (Recorder), Jordan Gulley, Kari Hiatt, Danielle Hoffman, Kerrie Hughes, Anne Innis, Kara Leonard, Gentiana Loeffler, Keoni McHone, Kelly Mercer (Co-Chair), Deanna Myers, Anne-Mary Nash-Haruna, Misay Partnof, David Plotkin, Carrie Sandberg, Charles Siegfried, April Smith, Sarah Steidl, Chris Sweet, Dru Urbassik, Wryann Van Riper</w:t>
      </w:r>
    </w:p>
    <w:p w14:paraId="13BCDC11" w14:textId="31D55D64" w:rsidR="00BD7DF0" w:rsidRPr="000A79EC" w:rsidRDefault="00BD7DF0" w:rsidP="00BD7DF0">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27037B">
        <w:rPr>
          <w:rFonts w:ascii="Aptos" w:hAnsi="Aptos" w:cs="Arial"/>
          <w:sz w:val="20"/>
          <w:szCs w:val="20"/>
        </w:rPr>
        <w:t xml:space="preserve"> </w:t>
      </w:r>
      <w:r w:rsidRPr="000A79EC">
        <w:rPr>
          <w:rFonts w:ascii="Aptos" w:hAnsi="Aptos" w:cs="Arial"/>
          <w:sz w:val="20"/>
          <w:szCs w:val="20"/>
        </w:rPr>
        <w:t xml:space="preserve"> </w:t>
      </w:r>
      <w:r w:rsidR="0027037B">
        <w:rPr>
          <w:rFonts w:ascii="Aptos" w:hAnsi="Aptos" w:cs="Arial"/>
          <w:sz w:val="20"/>
          <w:szCs w:val="20"/>
        </w:rPr>
        <w:t xml:space="preserve"> </w:t>
      </w:r>
      <w:r w:rsidR="001A5281" w:rsidRPr="001A5281">
        <w:rPr>
          <w:rFonts w:ascii="Aptos" w:hAnsi="Aptos" w:cs="Arial"/>
          <w:sz w:val="20"/>
          <w:szCs w:val="20"/>
        </w:rPr>
        <w:t>Eric Lee, Joan San-Claire, Laurette Scott</w:t>
      </w:r>
    </w:p>
    <w:p w14:paraId="4F532967" w14:textId="4CB831D5" w:rsidR="00BD7DF0" w:rsidRPr="000A79EC" w:rsidRDefault="00BD7DF0" w:rsidP="00BD7DF0">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27037B">
        <w:rPr>
          <w:rFonts w:ascii="Aptos" w:hAnsi="Aptos" w:cs="Arial"/>
          <w:sz w:val="20"/>
          <w:szCs w:val="20"/>
        </w:rPr>
        <w:t xml:space="preserve">  </w:t>
      </w:r>
      <w:r w:rsidR="00277349">
        <w:rPr>
          <w:rFonts w:ascii="Aptos" w:hAnsi="Aptos" w:cs="Arial"/>
          <w:sz w:val="20"/>
          <w:szCs w:val="20"/>
        </w:rPr>
        <w:t xml:space="preserve">ASG, </w:t>
      </w:r>
      <w:r w:rsidR="001A5281" w:rsidRPr="001A5281">
        <w:rPr>
          <w:rFonts w:ascii="Aptos" w:hAnsi="Aptos" w:cs="Arial"/>
          <w:sz w:val="20"/>
          <w:szCs w:val="20"/>
        </w:rPr>
        <w:t>Dustin Bare, Craig Connors, Erin Gravelle, Frank Kilders, AJ Smith, Aundrea Snitker, Keely Baca</w:t>
      </w:r>
    </w:p>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52E54FA4"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Approval of the</w:t>
      </w:r>
      <w:r w:rsidR="002671F0">
        <w:rPr>
          <w:rFonts w:ascii="Aptos" w:hAnsi="Aptos" w:cs="Arial"/>
          <w:sz w:val="20"/>
        </w:rPr>
        <w:t xml:space="preserve"> </w:t>
      </w:r>
      <w:r w:rsidR="002671F0" w:rsidRPr="002671F0">
        <w:rPr>
          <w:rFonts w:ascii="Aptos" w:hAnsi="Aptos" w:cs="Arial"/>
          <w:sz w:val="20"/>
        </w:rPr>
        <w:t>December 5, 2025</w:t>
      </w:r>
      <w:r w:rsidR="00D17502">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6D5AC340" w:rsidR="00D82E21"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6BF269BE" w14:textId="2BE44C0E" w:rsidR="004F556C" w:rsidRPr="00482FBC" w:rsidRDefault="004F556C" w:rsidP="000A79EC">
      <w:pPr>
        <w:pStyle w:val="ListParagraph"/>
        <w:numPr>
          <w:ilvl w:val="0"/>
          <w:numId w:val="6"/>
        </w:numPr>
        <w:rPr>
          <w:rFonts w:ascii="Aptos" w:hAnsi="Aptos" w:cs="Arial"/>
          <w:b/>
          <w:bCs/>
          <w:i/>
          <w:sz w:val="20"/>
        </w:rPr>
      </w:pPr>
      <w:bookmarkStart w:id="0" w:name="_Hlk56415892"/>
      <w:r w:rsidRPr="00482FBC">
        <w:rPr>
          <w:rFonts w:ascii="Aptos" w:hAnsi="Aptos" w:cs="Arial"/>
          <w:b/>
          <w:bCs/>
          <w:iCs/>
          <w:sz w:val="20"/>
        </w:rPr>
        <w:t>Program for Intensive English (PIE) Subject Inactivation</w:t>
      </w:r>
    </w:p>
    <w:p w14:paraId="59BB7BC0" w14:textId="3E11E6BC" w:rsidR="004F556C" w:rsidRPr="004F556C" w:rsidRDefault="0022252A" w:rsidP="004F556C">
      <w:pPr>
        <w:pStyle w:val="ListParagraph"/>
        <w:numPr>
          <w:ilvl w:val="1"/>
          <w:numId w:val="6"/>
        </w:numPr>
        <w:rPr>
          <w:rFonts w:ascii="Aptos" w:hAnsi="Aptos" w:cs="Arial"/>
          <w:i/>
          <w:sz w:val="20"/>
        </w:rPr>
      </w:pPr>
      <w:r>
        <w:rPr>
          <w:rFonts w:ascii="Aptos" w:hAnsi="Aptos" w:cs="Arial"/>
          <w:iCs/>
          <w:sz w:val="20"/>
        </w:rPr>
        <w:t xml:space="preserve">Curriculum Office presented for </w:t>
      </w:r>
      <w:r w:rsidR="004F556C">
        <w:rPr>
          <w:rFonts w:ascii="Aptos" w:hAnsi="Aptos" w:cs="Arial"/>
          <w:iCs/>
          <w:sz w:val="20"/>
        </w:rPr>
        <w:t>Laura Joyce</w:t>
      </w:r>
      <w:r>
        <w:rPr>
          <w:rFonts w:ascii="Aptos" w:hAnsi="Aptos" w:cs="Arial"/>
          <w:iCs/>
          <w:sz w:val="20"/>
        </w:rPr>
        <w:t>.</w:t>
      </w:r>
    </w:p>
    <w:p w14:paraId="587608FC" w14:textId="3D61A625" w:rsidR="004F556C" w:rsidRPr="0022252A" w:rsidRDefault="004F556C" w:rsidP="004F556C">
      <w:pPr>
        <w:pStyle w:val="ListParagraph"/>
        <w:numPr>
          <w:ilvl w:val="1"/>
          <w:numId w:val="6"/>
        </w:numPr>
        <w:rPr>
          <w:rFonts w:ascii="Aptos" w:hAnsi="Aptos" w:cs="Arial"/>
          <w:i/>
          <w:sz w:val="20"/>
        </w:rPr>
      </w:pPr>
      <w:r>
        <w:rPr>
          <w:rFonts w:ascii="Aptos" w:hAnsi="Aptos" w:cs="Arial"/>
          <w:iCs/>
          <w:sz w:val="20"/>
        </w:rPr>
        <w:t>This is an information</w:t>
      </w:r>
      <w:r w:rsidR="00620B8A">
        <w:rPr>
          <w:rFonts w:ascii="Aptos" w:hAnsi="Aptos" w:cs="Arial"/>
          <w:iCs/>
          <w:sz w:val="20"/>
        </w:rPr>
        <w:t>al</w:t>
      </w:r>
      <w:r>
        <w:rPr>
          <w:rFonts w:ascii="Aptos" w:hAnsi="Aptos" w:cs="Arial"/>
          <w:iCs/>
          <w:sz w:val="20"/>
        </w:rPr>
        <w:t xml:space="preserve"> item that all the courses in the PIE subject will be inactive starting in 26-27.</w:t>
      </w:r>
    </w:p>
    <w:p w14:paraId="0F34E664" w14:textId="3DF1BD0E" w:rsidR="0022252A" w:rsidRPr="0022252A" w:rsidRDefault="0022252A" w:rsidP="0022252A">
      <w:pPr>
        <w:pStyle w:val="ListParagraph"/>
        <w:numPr>
          <w:ilvl w:val="1"/>
          <w:numId w:val="6"/>
        </w:numPr>
        <w:rPr>
          <w:rFonts w:ascii="Aptos" w:hAnsi="Aptos" w:cs="Arial"/>
          <w:iCs/>
          <w:sz w:val="20"/>
        </w:rPr>
      </w:pPr>
      <w:r w:rsidRPr="0022252A">
        <w:rPr>
          <w:rFonts w:ascii="Aptos" w:hAnsi="Aptos" w:cs="Arial"/>
          <w:iCs/>
          <w:sz w:val="20"/>
        </w:rPr>
        <w:t xml:space="preserve">The Program for Intensive English (PIE) was paused at the start of Winter26 due to low enrollment.  For that last 3 years, very few students (2 or 3 students each year) have benefited from the labor and resources going into maintaining the program, and with the current climate around international students, we don’t foresee that rising in the near future.  Pausing the PIE means we won’t be accepting new students and we are removing all information about the program from the CCC Website. We will have the ability to reopen the PIE in the future if there were to be a rise in international students seeking English language programs in our area.  </w:t>
      </w:r>
    </w:p>
    <w:p w14:paraId="1CFDD149" w14:textId="2837202A" w:rsidR="0022252A" w:rsidRPr="0022252A" w:rsidRDefault="0022252A" w:rsidP="0022252A">
      <w:pPr>
        <w:pStyle w:val="ListParagraph"/>
        <w:numPr>
          <w:ilvl w:val="1"/>
          <w:numId w:val="6"/>
        </w:numPr>
        <w:rPr>
          <w:rFonts w:ascii="Aptos" w:hAnsi="Aptos" w:cs="Arial"/>
          <w:iCs/>
          <w:sz w:val="20"/>
        </w:rPr>
      </w:pPr>
      <w:r w:rsidRPr="0022252A">
        <w:rPr>
          <w:rFonts w:ascii="Aptos" w:hAnsi="Aptos" w:cs="Arial"/>
          <w:iCs/>
          <w:sz w:val="20"/>
        </w:rPr>
        <w:t xml:space="preserve">This was a difficult decision to make, as our PIE students have contributed so much to our learning community and the strength of the ESOL Department over the years.  If you have questions or concerns about the impact of pausing the PIE, please reach out to </w:t>
      </w:r>
      <w:r w:rsidR="00620B8A">
        <w:rPr>
          <w:rFonts w:ascii="Aptos" w:hAnsi="Aptos" w:cs="Arial"/>
          <w:iCs/>
          <w:sz w:val="20"/>
        </w:rPr>
        <w:t>Laura Joyce</w:t>
      </w:r>
      <w:r w:rsidRPr="0022252A">
        <w:rPr>
          <w:rFonts w:ascii="Aptos" w:hAnsi="Aptos" w:cs="Arial"/>
          <w:iCs/>
          <w:sz w:val="20"/>
        </w:rPr>
        <w:t xml:space="preserve">.  </w:t>
      </w:r>
    </w:p>
    <w:p w14:paraId="1D6BD09D" w14:textId="77777777" w:rsidR="003A1607" w:rsidRPr="00194C6C" w:rsidRDefault="003A1607" w:rsidP="003A1607">
      <w:pPr>
        <w:pStyle w:val="ListParagraph"/>
        <w:ind w:left="2160"/>
        <w:rPr>
          <w:rFonts w:ascii="Aptos" w:hAnsi="Aptos" w:cs="Arial"/>
          <w:i/>
          <w:sz w:val="20"/>
        </w:rPr>
      </w:pPr>
    </w:p>
    <w:p w14:paraId="7A7748E4" w14:textId="44A8EC61" w:rsidR="003A1607" w:rsidRPr="00482FBC" w:rsidRDefault="003A1607" w:rsidP="000A79EC">
      <w:pPr>
        <w:pStyle w:val="ListParagraph"/>
        <w:numPr>
          <w:ilvl w:val="0"/>
          <w:numId w:val="6"/>
        </w:numPr>
        <w:rPr>
          <w:rFonts w:ascii="Aptos" w:hAnsi="Aptos" w:cs="Arial"/>
          <w:b/>
          <w:bCs/>
          <w:i/>
          <w:sz w:val="20"/>
        </w:rPr>
      </w:pPr>
      <w:r w:rsidRPr="00482FBC">
        <w:rPr>
          <w:rFonts w:ascii="Aptos" w:hAnsi="Aptos" w:cs="Arial"/>
          <w:b/>
          <w:bCs/>
          <w:iCs/>
          <w:sz w:val="20"/>
        </w:rPr>
        <w:t>Gerontology CC Amendment</w:t>
      </w:r>
    </w:p>
    <w:p w14:paraId="378C5432" w14:textId="226140A7" w:rsidR="003A1607" w:rsidRPr="003A1607" w:rsidRDefault="003A1607" w:rsidP="003A1607">
      <w:pPr>
        <w:pStyle w:val="ListParagraph"/>
        <w:numPr>
          <w:ilvl w:val="1"/>
          <w:numId w:val="6"/>
        </w:numPr>
        <w:rPr>
          <w:rFonts w:ascii="Aptos" w:hAnsi="Aptos" w:cs="Arial"/>
          <w:i/>
          <w:sz w:val="20"/>
        </w:rPr>
      </w:pPr>
      <w:r>
        <w:rPr>
          <w:rFonts w:ascii="Aptos" w:hAnsi="Aptos" w:cs="Arial"/>
          <w:iCs/>
          <w:sz w:val="20"/>
        </w:rPr>
        <w:t>Laurette Scott presented</w:t>
      </w:r>
    </w:p>
    <w:p w14:paraId="246FB9FB" w14:textId="0F1F75ED" w:rsidR="00046900" w:rsidRPr="00046900" w:rsidRDefault="001E599B" w:rsidP="00046900">
      <w:pPr>
        <w:pStyle w:val="ListParagraph"/>
        <w:numPr>
          <w:ilvl w:val="1"/>
          <w:numId w:val="6"/>
        </w:numPr>
        <w:rPr>
          <w:rFonts w:ascii="Aptos" w:hAnsi="Aptos" w:cs="Arial"/>
          <w:i/>
          <w:sz w:val="20"/>
        </w:rPr>
      </w:pPr>
      <w:r>
        <w:rPr>
          <w:rFonts w:ascii="Aptos" w:hAnsi="Aptos" w:cs="Arial"/>
          <w:iCs/>
          <w:sz w:val="20"/>
        </w:rPr>
        <w:t>Replacing 3 Credits of Electives with HS-100 due to a change in the HS-170 prerequisite.</w:t>
      </w:r>
    </w:p>
    <w:p w14:paraId="08774A7B" w14:textId="0A04F986" w:rsidR="00046900" w:rsidRPr="00046900" w:rsidRDefault="00046900" w:rsidP="00046900">
      <w:pPr>
        <w:pStyle w:val="ListParagraph"/>
        <w:numPr>
          <w:ilvl w:val="1"/>
          <w:numId w:val="6"/>
        </w:numPr>
        <w:rPr>
          <w:rFonts w:ascii="Aptos" w:hAnsi="Aptos" w:cs="Arial"/>
          <w:i/>
          <w:sz w:val="20"/>
        </w:rPr>
      </w:pPr>
      <w:r>
        <w:rPr>
          <w:rFonts w:ascii="Aptos" w:hAnsi="Aptos" w:cs="Arial"/>
          <w:iCs/>
          <w:sz w:val="20"/>
        </w:rPr>
        <w:t>It’s possible all the Gerontology programs will be suspended soon due to lack of faculty.</w:t>
      </w:r>
    </w:p>
    <w:p w14:paraId="3A2AACB1" w14:textId="77777777" w:rsidR="003A1607" w:rsidRPr="003A1607" w:rsidRDefault="003A1607" w:rsidP="003A1607">
      <w:pPr>
        <w:ind w:firstLine="576"/>
        <w:rPr>
          <w:rFonts w:ascii="Aptos" w:hAnsi="Aptos" w:cs="Arial"/>
          <w:iCs/>
          <w:sz w:val="20"/>
        </w:rPr>
      </w:pPr>
      <w:r w:rsidRPr="003A1607">
        <w:rPr>
          <w:rFonts w:ascii="Aptos" w:hAnsi="Aptos" w:cs="Arial"/>
          <w:i/>
          <w:sz w:val="20"/>
        </w:rPr>
        <w:t>Motion to approve, approved</w:t>
      </w:r>
    </w:p>
    <w:p w14:paraId="33B0C82D" w14:textId="77777777" w:rsidR="0053024D" w:rsidRPr="00927BF7" w:rsidRDefault="0053024D" w:rsidP="00927BF7">
      <w:pPr>
        <w:rPr>
          <w:rFonts w:ascii="Aptos" w:hAnsi="Aptos" w:cs="Arial"/>
          <w:sz w:val="20"/>
        </w:rPr>
      </w:pPr>
    </w:p>
    <w:bookmarkEnd w:id="0"/>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77777777" w:rsidR="00CE0C98" w:rsidRPr="000A79EC" w:rsidRDefault="00CE0C98" w:rsidP="00097C2C">
      <w:pPr>
        <w:pStyle w:val="ListParagraph"/>
        <w:numPr>
          <w:ilvl w:val="1"/>
          <w:numId w:val="1"/>
        </w:numPr>
        <w:rPr>
          <w:rFonts w:ascii="Aptos" w:hAnsi="Aptos" w:cs="Arial"/>
          <w:sz w:val="20"/>
        </w:rPr>
      </w:pP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74D5F363" w14:textId="0A31D030" w:rsidR="00085030" w:rsidRDefault="00085030" w:rsidP="005537A4">
      <w:pPr>
        <w:pStyle w:val="ListParagraph"/>
        <w:numPr>
          <w:ilvl w:val="1"/>
          <w:numId w:val="1"/>
        </w:numPr>
        <w:rPr>
          <w:rFonts w:ascii="Aptos" w:hAnsi="Aptos" w:cs="Arial"/>
          <w:sz w:val="20"/>
          <w:szCs w:val="20"/>
        </w:rPr>
      </w:pPr>
      <w:r>
        <w:rPr>
          <w:rFonts w:ascii="Aptos" w:hAnsi="Aptos" w:cs="Arial"/>
          <w:sz w:val="20"/>
          <w:szCs w:val="20"/>
        </w:rPr>
        <w:t>CourseLeaf Program Form Updates</w:t>
      </w:r>
    </w:p>
    <w:p w14:paraId="5DFF1A64" w14:textId="65665357" w:rsidR="00085030" w:rsidRDefault="00085030" w:rsidP="00085030">
      <w:pPr>
        <w:pStyle w:val="ListParagraph"/>
        <w:numPr>
          <w:ilvl w:val="2"/>
          <w:numId w:val="1"/>
        </w:numPr>
        <w:rPr>
          <w:rFonts w:ascii="Aptos" w:hAnsi="Aptos" w:cs="Arial"/>
          <w:sz w:val="20"/>
          <w:szCs w:val="20"/>
        </w:rPr>
      </w:pPr>
      <w:r>
        <w:rPr>
          <w:rFonts w:ascii="Aptos" w:hAnsi="Aptos" w:cs="Arial"/>
          <w:sz w:val="20"/>
          <w:szCs w:val="20"/>
        </w:rPr>
        <w:t>Dru Urbassik presented</w:t>
      </w:r>
    </w:p>
    <w:p w14:paraId="7E705595" w14:textId="76CACF60" w:rsidR="00085030" w:rsidRPr="00927BF7" w:rsidRDefault="00085030" w:rsidP="00927BF7">
      <w:pPr>
        <w:pStyle w:val="ListParagraph"/>
        <w:numPr>
          <w:ilvl w:val="2"/>
          <w:numId w:val="1"/>
        </w:numPr>
        <w:rPr>
          <w:rFonts w:ascii="Aptos" w:hAnsi="Aptos" w:cs="Arial"/>
          <w:sz w:val="20"/>
          <w:szCs w:val="20"/>
        </w:rPr>
      </w:pPr>
      <w:r>
        <w:rPr>
          <w:rFonts w:ascii="Aptos" w:hAnsi="Aptos" w:cs="Arial"/>
          <w:sz w:val="20"/>
          <w:szCs w:val="20"/>
        </w:rPr>
        <w:t>Much like when a program triggers a 30% change with CCWD, NWCCU has criteria that triggers a change which requires additional information. We’ve now built those additional fields into the program form.</w:t>
      </w:r>
    </w:p>
    <w:p w14:paraId="6897D82A" w14:textId="22CFACED" w:rsidR="000C7E2B" w:rsidRDefault="00927BF7" w:rsidP="00085030">
      <w:pPr>
        <w:pStyle w:val="ListParagraph"/>
        <w:numPr>
          <w:ilvl w:val="2"/>
          <w:numId w:val="1"/>
        </w:numPr>
        <w:rPr>
          <w:rFonts w:ascii="Aptos" w:hAnsi="Aptos" w:cs="Arial"/>
          <w:sz w:val="20"/>
          <w:szCs w:val="20"/>
        </w:rPr>
      </w:pPr>
      <w:r>
        <w:rPr>
          <w:rFonts w:ascii="Aptos" w:hAnsi="Aptos" w:cs="Arial"/>
          <w:sz w:val="20"/>
          <w:szCs w:val="20"/>
        </w:rPr>
        <w:t>A</w:t>
      </w:r>
      <w:r w:rsidR="000C7E2B">
        <w:rPr>
          <w:rFonts w:ascii="Aptos" w:hAnsi="Aptos" w:cs="Arial"/>
          <w:sz w:val="20"/>
          <w:szCs w:val="20"/>
        </w:rPr>
        <w:t>dded additional approval steps in the workflow</w:t>
      </w:r>
      <w:r w:rsidR="00836635">
        <w:rPr>
          <w:rFonts w:ascii="Aptos" w:hAnsi="Aptos" w:cs="Arial"/>
          <w:sz w:val="20"/>
          <w:szCs w:val="20"/>
        </w:rPr>
        <w:t xml:space="preserve"> </w:t>
      </w:r>
      <w:r w:rsidR="00836635" w:rsidRPr="00955EA8">
        <w:rPr>
          <w:rFonts w:ascii="Aptos" w:hAnsi="Aptos" w:cs="Arial"/>
          <w:b/>
          <w:bCs/>
          <w:sz w:val="20"/>
          <w:szCs w:val="20"/>
        </w:rPr>
        <w:t>after</w:t>
      </w:r>
      <w:r w:rsidR="00836635">
        <w:rPr>
          <w:rFonts w:ascii="Aptos" w:hAnsi="Aptos" w:cs="Arial"/>
          <w:sz w:val="20"/>
          <w:szCs w:val="20"/>
        </w:rPr>
        <w:t xml:space="preserve"> the Curriculum Committee approval step</w:t>
      </w:r>
      <w:r w:rsidR="000C7E2B">
        <w:rPr>
          <w:rFonts w:ascii="Aptos" w:hAnsi="Aptos" w:cs="Arial"/>
          <w:sz w:val="20"/>
          <w:szCs w:val="20"/>
        </w:rPr>
        <w:t xml:space="preserve"> to ensure that only </w:t>
      </w:r>
      <w:r w:rsidR="00DB57A8">
        <w:rPr>
          <w:rFonts w:ascii="Aptos" w:hAnsi="Aptos" w:cs="Arial"/>
          <w:sz w:val="20"/>
          <w:szCs w:val="20"/>
        </w:rPr>
        <w:t>fully</w:t>
      </w:r>
      <w:r w:rsidR="000C7E2B">
        <w:rPr>
          <w:rFonts w:ascii="Aptos" w:hAnsi="Aptos" w:cs="Arial"/>
          <w:sz w:val="20"/>
          <w:szCs w:val="20"/>
        </w:rPr>
        <w:t xml:space="preserve"> approved information will display to the public. </w:t>
      </w:r>
    </w:p>
    <w:p w14:paraId="20B24ADE" w14:textId="7B773EEF" w:rsidR="00927BF7" w:rsidRDefault="00927BF7" w:rsidP="00085030">
      <w:pPr>
        <w:pStyle w:val="ListParagraph"/>
        <w:numPr>
          <w:ilvl w:val="2"/>
          <w:numId w:val="1"/>
        </w:numPr>
        <w:rPr>
          <w:rFonts w:ascii="Aptos" w:hAnsi="Aptos" w:cs="Arial"/>
          <w:sz w:val="20"/>
          <w:szCs w:val="20"/>
        </w:rPr>
      </w:pPr>
      <w:r>
        <w:rPr>
          <w:rFonts w:ascii="Aptos" w:hAnsi="Aptos" w:cs="Arial"/>
          <w:sz w:val="20"/>
          <w:szCs w:val="20"/>
        </w:rPr>
        <w:t>Advisory Committee question was also added per ISP 196</w:t>
      </w:r>
      <w:r w:rsidR="001F3C9D">
        <w:rPr>
          <w:rFonts w:ascii="Aptos" w:hAnsi="Aptos" w:cs="Arial"/>
          <w:sz w:val="20"/>
          <w:szCs w:val="20"/>
        </w:rPr>
        <w:t>.</w:t>
      </w:r>
    </w:p>
    <w:p w14:paraId="595ADB23" w14:textId="60E2D7DA" w:rsidR="00CB4226" w:rsidRDefault="00CB4226" w:rsidP="00085030">
      <w:pPr>
        <w:pStyle w:val="ListParagraph"/>
        <w:numPr>
          <w:ilvl w:val="2"/>
          <w:numId w:val="1"/>
        </w:numPr>
        <w:rPr>
          <w:rFonts w:ascii="Aptos" w:hAnsi="Aptos" w:cs="Arial"/>
          <w:sz w:val="20"/>
          <w:szCs w:val="20"/>
        </w:rPr>
      </w:pPr>
      <w:r>
        <w:rPr>
          <w:rFonts w:ascii="Aptos" w:hAnsi="Aptos" w:cs="Arial"/>
          <w:sz w:val="20"/>
          <w:szCs w:val="20"/>
        </w:rPr>
        <w:lastRenderedPageBreak/>
        <w:t xml:space="preserve">These changes will be communicated to Department Chairs </w:t>
      </w:r>
      <w:r w:rsidR="00B55500">
        <w:rPr>
          <w:rFonts w:ascii="Aptos" w:hAnsi="Aptos" w:cs="Arial"/>
          <w:sz w:val="20"/>
          <w:szCs w:val="20"/>
        </w:rPr>
        <w:t xml:space="preserve">and Administrative Assistants </w:t>
      </w:r>
      <w:r>
        <w:rPr>
          <w:rFonts w:ascii="Aptos" w:hAnsi="Aptos" w:cs="Arial"/>
          <w:sz w:val="20"/>
          <w:szCs w:val="20"/>
        </w:rPr>
        <w:t xml:space="preserve">through email. </w:t>
      </w:r>
    </w:p>
    <w:p w14:paraId="04B28A48" w14:textId="31DE0EFB" w:rsidR="005537A4" w:rsidRDefault="005537A4" w:rsidP="005537A4">
      <w:pPr>
        <w:pStyle w:val="ListParagraph"/>
        <w:numPr>
          <w:ilvl w:val="1"/>
          <w:numId w:val="1"/>
        </w:numPr>
        <w:rPr>
          <w:rFonts w:ascii="Aptos" w:hAnsi="Aptos" w:cs="Arial"/>
          <w:sz w:val="20"/>
          <w:szCs w:val="20"/>
        </w:rPr>
      </w:pPr>
      <w:r>
        <w:rPr>
          <w:rFonts w:ascii="Aptos" w:hAnsi="Aptos" w:cs="Arial"/>
          <w:sz w:val="20"/>
          <w:szCs w:val="20"/>
        </w:rPr>
        <w:t>Change EFA Subject Name to “Career Exploration”</w:t>
      </w:r>
    </w:p>
    <w:p w14:paraId="66D96FAD" w14:textId="65866158" w:rsidR="00680535" w:rsidRDefault="00680535" w:rsidP="00680535">
      <w:pPr>
        <w:pStyle w:val="ListParagraph"/>
        <w:numPr>
          <w:ilvl w:val="2"/>
          <w:numId w:val="1"/>
        </w:numPr>
        <w:rPr>
          <w:rFonts w:ascii="Aptos" w:hAnsi="Aptos" w:cs="Arial"/>
          <w:sz w:val="20"/>
          <w:szCs w:val="20"/>
        </w:rPr>
      </w:pPr>
      <w:r>
        <w:rPr>
          <w:rFonts w:ascii="Aptos" w:hAnsi="Aptos" w:cs="Arial"/>
          <w:sz w:val="20"/>
          <w:szCs w:val="20"/>
        </w:rPr>
        <w:t>Eric Lee presented</w:t>
      </w:r>
    </w:p>
    <w:p w14:paraId="0E2AFB12" w14:textId="4B70A7A3" w:rsidR="0075544B" w:rsidRDefault="0075544B" w:rsidP="00680535">
      <w:pPr>
        <w:pStyle w:val="ListParagraph"/>
        <w:numPr>
          <w:ilvl w:val="2"/>
          <w:numId w:val="1"/>
        </w:numPr>
        <w:rPr>
          <w:rFonts w:ascii="Aptos" w:hAnsi="Aptos" w:cs="Arial"/>
          <w:sz w:val="20"/>
          <w:szCs w:val="20"/>
        </w:rPr>
      </w:pPr>
      <w:r>
        <w:rPr>
          <w:rFonts w:ascii="Aptos" w:hAnsi="Aptos" w:cs="Arial"/>
          <w:sz w:val="20"/>
          <w:szCs w:val="20"/>
        </w:rPr>
        <w:t>Right now, the EFA subject stands for Educational Focus Area. Is there interest in changing the subject name to be Career Exploration?</w:t>
      </w:r>
    </w:p>
    <w:p w14:paraId="241C3D84" w14:textId="2829E287" w:rsidR="00C016B6" w:rsidRDefault="00C016B6" w:rsidP="00680535">
      <w:pPr>
        <w:pStyle w:val="ListParagraph"/>
        <w:numPr>
          <w:ilvl w:val="2"/>
          <w:numId w:val="1"/>
        </w:numPr>
        <w:rPr>
          <w:rFonts w:ascii="Aptos" w:hAnsi="Aptos" w:cs="Arial"/>
          <w:sz w:val="20"/>
          <w:szCs w:val="20"/>
        </w:rPr>
      </w:pPr>
      <w:r>
        <w:rPr>
          <w:rFonts w:ascii="Aptos" w:hAnsi="Aptos" w:cs="Arial"/>
          <w:sz w:val="20"/>
          <w:szCs w:val="20"/>
        </w:rPr>
        <w:t>Current EFA course titles:</w:t>
      </w:r>
    </w:p>
    <w:tbl>
      <w:tblPr>
        <w:tblW w:w="7966" w:type="dxa"/>
        <w:tblInd w:w="2204" w:type="dxa"/>
        <w:tblLook w:val="04A0" w:firstRow="1" w:lastRow="0" w:firstColumn="1" w:lastColumn="0" w:noHBand="0" w:noVBand="1"/>
      </w:tblPr>
      <w:tblGrid>
        <w:gridCol w:w="1300"/>
        <w:gridCol w:w="6666"/>
      </w:tblGrid>
      <w:tr w:rsidR="00C016B6" w:rsidRPr="00C016B6" w14:paraId="333FBDBC" w14:textId="77777777" w:rsidTr="00C016B6">
        <w:trPr>
          <w:trHeight w:val="300"/>
        </w:trPr>
        <w:tc>
          <w:tcPr>
            <w:tcW w:w="1300" w:type="dxa"/>
            <w:tcBorders>
              <w:top w:val="single" w:sz="4" w:space="0" w:color="156082"/>
              <w:left w:val="nil"/>
              <w:bottom w:val="nil"/>
              <w:right w:val="nil"/>
            </w:tcBorders>
            <w:noWrap/>
            <w:vAlign w:val="bottom"/>
            <w:hideMark/>
          </w:tcPr>
          <w:p w14:paraId="437007F4" w14:textId="77777777" w:rsidR="00C016B6" w:rsidRPr="00C016B6" w:rsidRDefault="00C016B6" w:rsidP="00C016B6">
            <w:pPr>
              <w:rPr>
                <w:rFonts w:ascii="Aptos Narrow" w:eastAsia="Times New Roman" w:hAnsi="Aptos Narrow"/>
                <w:color w:val="000000"/>
                <w:sz w:val="20"/>
                <w:szCs w:val="20"/>
              </w:rPr>
            </w:pPr>
            <w:bookmarkStart w:id="1" w:name="_Hlk218834315"/>
            <w:r w:rsidRPr="00C016B6">
              <w:rPr>
                <w:rFonts w:ascii="Aptos Narrow" w:eastAsia="Times New Roman" w:hAnsi="Aptos Narrow"/>
                <w:color w:val="000000"/>
                <w:sz w:val="20"/>
                <w:szCs w:val="20"/>
              </w:rPr>
              <w:t>EFA-101C</w:t>
            </w:r>
          </w:p>
        </w:tc>
        <w:tc>
          <w:tcPr>
            <w:tcW w:w="6666" w:type="dxa"/>
            <w:tcBorders>
              <w:top w:val="single" w:sz="4" w:space="0" w:color="156082"/>
              <w:left w:val="nil"/>
              <w:bottom w:val="nil"/>
              <w:right w:val="single" w:sz="4" w:space="0" w:color="156082"/>
            </w:tcBorders>
            <w:noWrap/>
            <w:vAlign w:val="bottom"/>
            <w:hideMark/>
          </w:tcPr>
          <w:p w14:paraId="3BEDF794" w14:textId="77777777" w:rsidR="00C016B6" w:rsidRPr="00C016B6" w:rsidRDefault="00C016B6" w:rsidP="00C016B6">
            <w:pPr>
              <w:rPr>
                <w:rFonts w:ascii="Aptos Narrow" w:eastAsia="Times New Roman" w:hAnsi="Aptos Narrow"/>
                <w:color w:val="000000"/>
                <w:sz w:val="20"/>
                <w:szCs w:val="20"/>
              </w:rPr>
            </w:pPr>
            <w:r w:rsidRPr="00C016B6">
              <w:rPr>
                <w:rFonts w:ascii="Aptos Narrow" w:eastAsia="Times New Roman" w:hAnsi="Aptos Narrow"/>
                <w:color w:val="000000"/>
                <w:sz w:val="20"/>
                <w:szCs w:val="20"/>
              </w:rPr>
              <w:t>Introduction to the Creative Arts Communication and Humanities</w:t>
            </w:r>
          </w:p>
        </w:tc>
      </w:tr>
      <w:tr w:rsidR="00C016B6" w:rsidRPr="00C016B6" w14:paraId="79D5C372" w14:textId="77777777" w:rsidTr="00C016B6">
        <w:trPr>
          <w:trHeight w:val="300"/>
        </w:trPr>
        <w:tc>
          <w:tcPr>
            <w:tcW w:w="1300" w:type="dxa"/>
            <w:tcBorders>
              <w:top w:val="single" w:sz="4" w:space="0" w:color="156082"/>
              <w:left w:val="nil"/>
              <w:bottom w:val="nil"/>
              <w:right w:val="nil"/>
            </w:tcBorders>
            <w:noWrap/>
            <w:vAlign w:val="bottom"/>
            <w:hideMark/>
          </w:tcPr>
          <w:p w14:paraId="2F5EAE63" w14:textId="77777777" w:rsidR="00C016B6" w:rsidRPr="00C016B6" w:rsidRDefault="00C016B6" w:rsidP="00C016B6">
            <w:pPr>
              <w:rPr>
                <w:rFonts w:ascii="Aptos Narrow" w:eastAsia="Times New Roman" w:hAnsi="Aptos Narrow"/>
                <w:color w:val="000000"/>
                <w:sz w:val="20"/>
                <w:szCs w:val="20"/>
              </w:rPr>
            </w:pPr>
            <w:r w:rsidRPr="00C016B6">
              <w:rPr>
                <w:rFonts w:ascii="Aptos Narrow" w:eastAsia="Times New Roman" w:hAnsi="Aptos Narrow"/>
                <w:color w:val="000000"/>
                <w:sz w:val="20"/>
                <w:szCs w:val="20"/>
              </w:rPr>
              <w:t>EFA-101J</w:t>
            </w:r>
          </w:p>
        </w:tc>
        <w:tc>
          <w:tcPr>
            <w:tcW w:w="6666" w:type="dxa"/>
            <w:tcBorders>
              <w:top w:val="single" w:sz="4" w:space="0" w:color="156082"/>
              <w:left w:val="nil"/>
              <w:bottom w:val="nil"/>
              <w:right w:val="single" w:sz="4" w:space="0" w:color="156082"/>
            </w:tcBorders>
            <w:noWrap/>
            <w:vAlign w:val="bottom"/>
            <w:hideMark/>
          </w:tcPr>
          <w:p w14:paraId="5E54E4AE" w14:textId="77777777" w:rsidR="00C016B6" w:rsidRPr="00C016B6" w:rsidRDefault="00C016B6" w:rsidP="00C016B6">
            <w:pPr>
              <w:rPr>
                <w:rFonts w:ascii="Aptos Narrow" w:eastAsia="Times New Roman" w:hAnsi="Aptos Narrow"/>
                <w:color w:val="000000"/>
                <w:sz w:val="20"/>
                <w:szCs w:val="20"/>
              </w:rPr>
            </w:pPr>
            <w:r w:rsidRPr="00C016B6">
              <w:rPr>
                <w:rFonts w:ascii="Aptos Narrow" w:eastAsia="Times New Roman" w:hAnsi="Aptos Narrow"/>
                <w:color w:val="000000"/>
                <w:sz w:val="20"/>
                <w:szCs w:val="20"/>
              </w:rPr>
              <w:t>Introduction to the Social Sciences, Human Services and Criminal Justice</w:t>
            </w:r>
          </w:p>
        </w:tc>
      </w:tr>
      <w:tr w:rsidR="00C016B6" w:rsidRPr="00C016B6" w14:paraId="5972EF15" w14:textId="77777777" w:rsidTr="00C016B6">
        <w:trPr>
          <w:trHeight w:val="300"/>
        </w:trPr>
        <w:tc>
          <w:tcPr>
            <w:tcW w:w="1300" w:type="dxa"/>
            <w:tcBorders>
              <w:top w:val="single" w:sz="4" w:space="0" w:color="156082"/>
              <w:left w:val="nil"/>
              <w:bottom w:val="nil"/>
              <w:right w:val="nil"/>
            </w:tcBorders>
            <w:noWrap/>
            <w:vAlign w:val="bottom"/>
            <w:hideMark/>
          </w:tcPr>
          <w:p w14:paraId="18B7DD42" w14:textId="77777777" w:rsidR="00C016B6" w:rsidRPr="00C016B6" w:rsidRDefault="00C016B6" w:rsidP="00C016B6">
            <w:pPr>
              <w:rPr>
                <w:rFonts w:ascii="Aptos Narrow" w:eastAsia="Times New Roman" w:hAnsi="Aptos Narrow"/>
                <w:color w:val="000000"/>
                <w:sz w:val="20"/>
                <w:szCs w:val="20"/>
              </w:rPr>
            </w:pPr>
            <w:r w:rsidRPr="00C016B6">
              <w:rPr>
                <w:rFonts w:ascii="Aptos Narrow" w:eastAsia="Times New Roman" w:hAnsi="Aptos Narrow"/>
                <w:color w:val="000000"/>
                <w:sz w:val="20"/>
                <w:szCs w:val="20"/>
              </w:rPr>
              <w:t>EFA-101N</w:t>
            </w:r>
          </w:p>
        </w:tc>
        <w:tc>
          <w:tcPr>
            <w:tcW w:w="6666" w:type="dxa"/>
            <w:tcBorders>
              <w:top w:val="single" w:sz="4" w:space="0" w:color="156082"/>
              <w:left w:val="nil"/>
              <w:bottom w:val="nil"/>
              <w:right w:val="single" w:sz="4" w:space="0" w:color="156082"/>
            </w:tcBorders>
            <w:noWrap/>
            <w:vAlign w:val="bottom"/>
            <w:hideMark/>
          </w:tcPr>
          <w:p w14:paraId="60AFF5BB" w14:textId="77777777" w:rsidR="00C016B6" w:rsidRPr="00C016B6" w:rsidRDefault="00C016B6" w:rsidP="00C016B6">
            <w:pPr>
              <w:rPr>
                <w:rFonts w:ascii="Aptos Narrow" w:eastAsia="Times New Roman" w:hAnsi="Aptos Narrow"/>
                <w:color w:val="000000"/>
                <w:sz w:val="20"/>
                <w:szCs w:val="20"/>
              </w:rPr>
            </w:pPr>
            <w:r w:rsidRPr="00C016B6">
              <w:rPr>
                <w:rFonts w:ascii="Aptos Narrow" w:eastAsia="Times New Roman" w:hAnsi="Aptos Narrow"/>
                <w:color w:val="000000"/>
                <w:sz w:val="20"/>
                <w:szCs w:val="20"/>
              </w:rPr>
              <w:t>Introduction to Natural Resources</w:t>
            </w:r>
          </w:p>
        </w:tc>
      </w:tr>
      <w:tr w:rsidR="00C016B6" w:rsidRPr="00C016B6" w14:paraId="56282632" w14:textId="77777777" w:rsidTr="00C016B6">
        <w:trPr>
          <w:trHeight w:val="300"/>
        </w:trPr>
        <w:tc>
          <w:tcPr>
            <w:tcW w:w="1300" w:type="dxa"/>
            <w:tcBorders>
              <w:top w:val="single" w:sz="4" w:space="0" w:color="156082"/>
              <w:left w:val="nil"/>
              <w:bottom w:val="nil"/>
              <w:right w:val="nil"/>
            </w:tcBorders>
            <w:noWrap/>
            <w:vAlign w:val="bottom"/>
            <w:hideMark/>
          </w:tcPr>
          <w:p w14:paraId="294AE4E7" w14:textId="77777777" w:rsidR="00C016B6" w:rsidRPr="00C016B6" w:rsidRDefault="00C016B6" w:rsidP="00C016B6">
            <w:pPr>
              <w:rPr>
                <w:rFonts w:ascii="Aptos Narrow" w:eastAsia="Times New Roman" w:hAnsi="Aptos Narrow"/>
                <w:color w:val="000000"/>
                <w:sz w:val="20"/>
                <w:szCs w:val="20"/>
              </w:rPr>
            </w:pPr>
            <w:r w:rsidRPr="00C016B6">
              <w:rPr>
                <w:rFonts w:ascii="Aptos Narrow" w:eastAsia="Times New Roman" w:hAnsi="Aptos Narrow"/>
                <w:color w:val="000000"/>
                <w:sz w:val="20"/>
                <w:szCs w:val="20"/>
              </w:rPr>
              <w:t>EFA-101S</w:t>
            </w:r>
          </w:p>
        </w:tc>
        <w:tc>
          <w:tcPr>
            <w:tcW w:w="6666" w:type="dxa"/>
            <w:tcBorders>
              <w:top w:val="single" w:sz="4" w:space="0" w:color="156082"/>
              <w:left w:val="nil"/>
              <w:bottom w:val="nil"/>
              <w:right w:val="single" w:sz="4" w:space="0" w:color="156082"/>
            </w:tcBorders>
            <w:noWrap/>
            <w:vAlign w:val="bottom"/>
            <w:hideMark/>
          </w:tcPr>
          <w:p w14:paraId="393C3774" w14:textId="77777777" w:rsidR="00C016B6" w:rsidRPr="00C016B6" w:rsidRDefault="00C016B6" w:rsidP="00C016B6">
            <w:pPr>
              <w:rPr>
                <w:rFonts w:ascii="Aptos Narrow" w:eastAsia="Times New Roman" w:hAnsi="Aptos Narrow"/>
                <w:color w:val="000000"/>
                <w:sz w:val="20"/>
                <w:szCs w:val="20"/>
              </w:rPr>
            </w:pPr>
            <w:r w:rsidRPr="00C016B6">
              <w:rPr>
                <w:rFonts w:ascii="Aptos Narrow" w:eastAsia="Times New Roman" w:hAnsi="Aptos Narrow"/>
                <w:color w:val="000000"/>
                <w:sz w:val="20"/>
                <w:szCs w:val="20"/>
              </w:rPr>
              <w:t>Introduction to STEM</w:t>
            </w:r>
          </w:p>
        </w:tc>
      </w:tr>
      <w:bookmarkEnd w:id="1"/>
    </w:tbl>
    <w:p w14:paraId="6CDCBFD7" w14:textId="77777777" w:rsidR="00C016B6" w:rsidRPr="00C016B6" w:rsidRDefault="00C016B6" w:rsidP="00C016B6">
      <w:pPr>
        <w:rPr>
          <w:rFonts w:ascii="Aptos" w:hAnsi="Aptos" w:cs="Arial"/>
          <w:sz w:val="20"/>
          <w:szCs w:val="20"/>
        </w:rPr>
      </w:pPr>
    </w:p>
    <w:p w14:paraId="1D22F2E0" w14:textId="02597408" w:rsidR="00253B5D" w:rsidRDefault="00253B5D" w:rsidP="00680535">
      <w:pPr>
        <w:pStyle w:val="ListParagraph"/>
        <w:numPr>
          <w:ilvl w:val="2"/>
          <w:numId w:val="1"/>
        </w:numPr>
        <w:rPr>
          <w:rFonts w:ascii="Aptos" w:hAnsi="Aptos" w:cs="Arial"/>
          <w:sz w:val="20"/>
          <w:szCs w:val="20"/>
        </w:rPr>
      </w:pPr>
      <w:r>
        <w:rPr>
          <w:rFonts w:ascii="Aptos" w:hAnsi="Aptos" w:cs="Arial"/>
          <w:sz w:val="20"/>
          <w:szCs w:val="20"/>
        </w:rPr>
        <w:t>The HD subject currently stands for Human Development/Career Planning</w:t>
      </w:r>
    </w:p>
    <w:p w14:paraId="5B816F5A" w14:textId="413607B7" w:rsidR="000D200C" w:rsidRDefault="000D200C" w:rsidP="00680535">
      <w:pPr>
        <w:pStyle w:val="ListParagraph"/>
        <w:numPr>
          <w:ilvl w:val="2"/>
          <w:numId w:val="1"/>
        </w:numPr>
        <w:rPr>
          <w:rFonts w:ascii="Aptos" w:hAnsi="Aptos" w:cs="Arial"/>
          <w:sz w:val="20"/>
          <w:szCs w:val="20"/>
        </w:rPr>
      </w:pPr>
      <w:r>
        <w:rPr>
          <w:rFonts w:ascii="Aptos" w:hAnsi="Aptos" w:cs="Arial"/>
          <w:sz w:val="20"/>
          <w:szCs w:val="20"/>
        </w:rPr>
        <w:t xml:space="preserve">Guided Pathways is picking up this </w:t>
      </w:r>
      <w:r w:rsidR="008431C7">
        <w:rPr>
          <w:rFonts w:ascii="Aptos" w:hAnsi="Aptos" w:cs="Arial"/>
          <w:sz w:val="20"/>
          <w:szCs w:val="20"/>
        </w:rPr>
        <w:t>winter,</w:t>
      </w:r>
      <w:r>
        <w:rPr>
          <w:rFonts w:ascii="Aptos" w:hAnsi="Aptos" w:cs="Arial"/>
          <w:sz w:val="20"/>
          <w:szCs w:val="20"/>
        </w:rPr>
        <w:t xml:space="preserve"> and they will look at these courses.</w:t>
      </w:r>
    </w:p>
    <w:p w14:paraId="44C310CB" w14:textId="26C0F155" w:rsidR="008431C7" w:rsidRDefault="00ED28A9" w:rsidP="00680535">
      <w:pPr>
        <w:pStyle w:val="ListParagraph"/>
        <w:numPr>
          <w:ilvl w:val="2"/>
          <w:numId w:val="1"/>
        </w:numPr>
        <w:rPr>
          <w:rFonts w:ascii="Aptos" w:hAnsi="Aptos" w:cs="Arial"/>
          <w:sz w:val="20"/>
          <w:szCs w:val="20"/>
        </w:rPr>
      </w:pPr>
      <w:r>
        <w:rPr>
          <w:rFonts w:ascii="Aptos" w:hAnsi="Aptos" w:cs="Arial"/>
          <w:sz w:val="20"/>
          <w:szCs w:val="20"/>
        </w:rPr>
        <w:t>There is interest for some to review the purpose of these courses.</w:t>
      </w:r>
    </w:p>
    <w:p w14:paraId="506F8ED9" w14:textId="77777777" w:rsidR="005537A4" w:rsidRDefault="005537A4" w:rsidP="005537A4">
      <w:pPr>
        <w:pStyle w:val="ListParagraph"/>
        <w:numPr>
          <w:ilvl w:val="1"/>
          <w:numId w:val="1"/>
        </w:numPr>
        <w:rPr>
          <w:rFonts w:ascii="Aptos" w:hAnsi="Aptos" w:cs="Arial"/>
          <w:sz w:val="20"/>
          <w:szCs w:val="20"/>
        </w:rPr>
      </w:pPr>
      <w:r>
        <w:rPr>
          <w:rFonts w:ascii="Aptos" w:hAnsi="Aptos" w:cs="Arial"/>
          <w:sz w:val="20"/>
          <w:szCs w:val="20"/>
        </w:rPr>
        <w:t>Interest in Reviewing PE Related Instruction Requirement</w:t>
      </w:r>
    </w:p>
    <w:p w14:paraId="6A9D960A" w14:textId="657AA340" w:rsidR="005537A4" w:rsidRDefault="005537A4" w:rsidP="005537A4">
      <w:pPr>
        <w:pStyle w:val="ListParagraph"/>
        <w:numPr>
          <w:ilvl w:val="2"/>
          <w:numId w:val="1"/>
        </w:numPr>
        <w:rPr>
          <w:rFonts w:ascii="Aptos" w:hAnsi="Aptos" w:cs="Arial"/>
          <w:sz w:val="20"/>
          <w:szCs w:val="20"/>
        </w:rPr>
      </w:pPr>
      <w:r>
        <w:rPr>
          <w:rFonts w:ascii="Aptos" w:hAnsi="Aptos" w:cs="Arial"/>
          <w:sz w:val="20"/>
          <w:szCs w:val="20"/>
        </w:rPr>
        <w:t>Is there interest in reviewing the PE/Health/Safety Related Instruction requirement for AAS degrees?</w:t>
      </w:r>
      <w:r w:rsidR="00927BF7">
        <w:rPr>
          <w:rFonts w:ascii="Aptos" w:hAnsi="Aptos" w:cs="Arial"/>
          <w:sz w:val="20"/>
          <w:szCs w:val="20"/>
        </w:rPr>
        <w:t xml:space="preserve"> ISP 181</w:t>
      </w:r>
      <w:r w:rsidR="005E37BC">
        <w:rPr>
          <w:rFonts w:ascii="Aptos" w:hAnsi="Aptos" w:cs="Arial"/>
          <w:sz w:val="20"/>
          <w:szCs w:val="20"/>
        </w:rPr>
        <w:t>.</w:t>
      </w:r>
    </w:p>
    <w:p w14:paraId="3FD2E4F5" w14:textId="435ECEB4" w:rsidR="005537A4" w:rsidRDefault="00680535" w:rsidP="005537A4">
      <w:pPr>
        <w:pStyle w:val="ListParagraph"/>
        <w:numPr>
          <w:ilvl w:val="2"/>
          <w:numId w:val="1"/>
        </w:numPr>
        <w:rPr>
          <w:rFonts w:ascii="Aptos" w:hAnsi="Aptos" w:cs="Arial"/>
          <w:sz w:val="20"/>
          <w:szCs w:val="20"/>
        </w:rPr>
      </w:pPr>
      <w:r>
        <w:rPr>
          <w:rFonts w:ascii="Aptos" w:hAnsi="Aptos" w:cs="Arial"/>
          <w:sz w:val="20"/>
          <w:szCs w:val="20"/>
        </w:rPr>
        <w:t>Joan San-Claire brought up this topic at the 12/5/25 meeting and the Committee decided to bring it forward for discussion.</w:t>
      </w:r>
    </w:p>
    <w:p w14:paraId="1FA35DBB" w14:textId="1D6FD2FE" w:rsidR="005E37BC" w:rsidRDefault="005E37BC" w:rsidP="005537A4">
      <w:pPr>
        <w:pStyle w:val="ListParagraph"/>
        <w:numPr>
          <w:ilvl w:val="2"/>
          <w:numId w:val="1"/>
        </w:numPr>
        <w:rPr>
          <w:rFonts w:ascii="Aptos" w:hAnsi="Aptos" w:cs="Arial"/>
          <w:sz w:val="20"/>
          <w:szCs w:val="20"/>
        </w:rPr>
      </w:pPr>
      <w:r>
        <w:rPr>
          <w:rFonts w:ascii="Aptos" w:hAnsi="Aptos" w:cs="Arial"/>
          <w:sz w:val="20"/>
          <w:szCs w:val="20"/>
        </w:rPr>
        <w:t xml:space="preserve">There is interest in forming a group to explore if this is still needed. They would gather information </w:t>
      </w:r>
      <w:r w:rsidR="001A3F49">
        <w:rPr>
          <w:rFonts w:ascii="Aptos" w:hAnsi="Aptos" w:cs="Arial"/>
          <w:sz w:val="20"/>
          <w:szCs w:val="20"/>
        </w:rPr>
        <w:t>about</w:t>
      </w:r>
      <w:r>
        <w:rPr>
          <w:rFonts w:ascii="Aptos" w:hAnsi="Aptos" w:cs="Arial"/>
          <w:sz w:val="20"/>
          <w:szCs w:val="20"/>
        </w:rPr>
        <w:t xml:space="preserve"> whether other Oregon Community Colleges have this or a similar requirement.</w:t>
      </w:r>
      <w:r w:rsidR="00605715">
        <w:rPr>
          <w:rFonts w:ascii="Aptos" w:hAnsi="Aptos" w:cs="Arial"/>
          <w:sz w:val="20"/>
          <w:szCs w:val="20"/>
        </w:rPr>
        <w:t xml:space="preserve"> </w:t>
      </w:r>
    </w:p>
    <w:p w14:paraId="09D869D8" w14:textId="09514FDE" w:rsidR="001A3F49" w:rsidRPr="0067577C" w:rsidRDefault="005E37BC" w:rsidP="0067577C">
      <w:pPr>
        <w:pStyle w:val="ListParagraph"/>
        <w:numPr>
          <w:ilvl w:val="3"/>
          <w:numId w:val="1"/>
        </w:numPr>
        <w:rPr>
          <w:rFonts w:ascii="Aptos" w:hAnsi="Aptos" w:cs="Arial"/>
          <w:sz w:val="20"/>
          <w:szCs w:val="20"/>
        </w:rPr>
      </w:pPr>
      <w:r>
        <w:rPr>
          <w:rFonts w:ascii="Aptos" w:hAnsi="Aptos" w:cs="Arial"/>
          <w:sz w:val="20"/>
          <w:szCs w:val="20"/>
        </w:rPr>
        <w:t>Keoni, Joan, Elizabeth</w:t>
      </w:r>
      <w:r w:rsidR="001A3F49">
        <w:rPr>
          <w:rFonts w:ascii="Aptos" w:hAnsi="Aptos" w:cs="Arial"/>
          <w:sz w:val="20"/>
          <w:szCs w:val="20"/>
        </w:rPr>
        <w:t>, Nora, Debra</w:t>
      </w:r>
    </w:p>
    <w:p w14:paraId="0AFB30FF" w14:textId="3177BF75" w:rsidR="0002566C" w:rsidRPr="0002566C" w:rsidRDefault="0002566C" w:rsidP="005537A4">
      <w:pPr>
        <w:pStyle w:val="ListParagraph"/>
        <w:numPr>
          <w:ilvl w:val="1"/>
          <w:numId w:val="1"/>
        </w:numPr>
        <w:rPr>
          <w:rFonts w:ascii="Aptos" w:hAnsi="Aptos" w:cs="Arial"/>
          <w:bCs/>
          <w:sz w:val="20"/>
        </w:rPr>
      </w:pPr>
      <w:r w:rsidRPr="0002566C">
        <w:rPr>
          <w:rFonts w:ascii="Aptos" w:hAnsi="Aptos" w:cs="Arial"/>
          <w:bCs/>
          <w:sz w:val="20"/>
        </w:rPr>
        <w:t>General Education Complete</w:t>
      </w:r>
    </w:p>
    <w:p w14:paraId="379DCACF" w14:textId="5D80259C" w:rsidR="0002566C" w:rsidRPr="0002566C" w:rsidRDefault="0002566C" w:rsidP="0002566C">
      <w:pPr>
        <w:pStyle w:val="ListParagraph"/>
        <w:numPr>
          <w:ilvl w:val="2"/>
          <w:numId w:val="1"/>
        </w:numPr>
        <w:rPr>
          <w:rFonts w:ascii="Aptos" w:hAnsi="Aptos" w:cs="Arial"/>
          <w:bCs/>
          <w:sz w:val="20"/>
        </w:rPr>
      </w:pPr>
      <w:r w:rsidRPr="0002566C">
        <w:rPr>
          <w:rFonts w:ascii="Aptos" w:hAnsi="Aptos" w:cs="Arial"/>
          <w:bCs/>
          <w:sz w:val="20"/>
        </w:rPr>
        <w:t>David Plotkin presented</w:t>
      </w:r>
    </w:p>
    <w:p w14:paraId="00A05BDC" w14:textId="765C3A0A" w:rsidR="00471F20" w:rsidRDefault="00471F20" w:rsidP="0002566C">
      <w:pPr>
        <w:pStyle w:val="ListParagraph"/>
        <w:numPr>
          <w:ilvl w:val="2"/>
          <w:numId w:val="1"/>
        </w:numPr>
        <w:rPr>
          <w:rFonts w:ascii="Aptos" w:hAnsi="Aptos" w:cs="Arial"/>
          <w:bCs/>
          <w:sz w:val="20"/>
        </w:rPr>
      </w:pPr>
      <w:r w:rsidRPr="00471F20">
        <w:rPr>
          <w:rFonts w:ascii="Aptos" w:hAnsi="Aptos" w:cs="Arial"/>
          <w:bCs/>
          <w:sz w:val="20"/>
        </w:rPr>
        <w:t>In accordance with the vision statement adopted by the HECC on December 11, 2025, and the agency’s revised Strategic Plan, the HECC will develop a transfer General Education (GE) block that fulfills all general education requirements for a bachelor’s degree at any Oregon public university. The Transfer Council is requested to lead in the development of this block.</w:t>
      </w:r>
    </w:p>
    <w:p w14:paraId="44DEBD5F" w14:textId="1A460359" w:rsidR="000A79EC" w:rsidRPr="005537A4" w:rsidRDefault="005537A4" w:rsidP="005537A4">
      <w:pPr>
        <w:pStyle w:val="ListParagraph"/>
        <w:numPr>
          <w:ilvl w:val="1"/>
          <w:numId w:val="1"/>
        </w:numPr>
        <w:rPr>
          <w:rFonts w:ascii="Aptos" w:hAnsi="Aptos" w:cs="Arial"/>
          <w:b/>
          <w:sz w:val="20"/>
        </w:rPr>
      </w:pPr>
      <w:r w:rsidRPr="007A3B89">
        <w:rPr>
          <w:rFonts w:ascii="Aptos" w:hAnsi="Aptos" w:cs="Arial"/>
          <w:bCs/>
          <w:sz w:val="20"/>
          <w:szCs w:val="20"/>
        </w:rPr>
        <w:t>Gen Ed Approval</w:t>
      </w:r>
      <w:r>
        <w:rPr>
          <w:rFonts w:ascii="Aptos" w:hAnsi="Aptos" w:cs="Arial"/>
          <w:sz w:val="20"/>
          <w:szCs w:val="20"/>
        </w:rPr>
        <w:t xml:space="preserve"> for Common Course Numbering</w:t>
      </w:r>
    </w:p>
    <w:p w14:paraId="663161EC" w14:textId="7BE6363B" w:rsidR="00F9449A" w:rsidRPr="00F9449A" w:rsidRDefault="00F9449A" w:rsidP="005537A4">
      <w:pPr>
        <w:pStyle w:val="ListParagraph"/>
        <w:numPr>
          <w:ilvl w:val="2"/>
          <w:numId w:val="1"/>
        </w:numPr>
        <w:rPr>
          <w:rFonts w:ascii="Aptos" w:hAnsi="Aptos" w:cs="Arial"/>
          <w:b/>
          <w:sz w:val="20"/>
        </w:rPr>
      </w:pPr>
      <w:r>
        <w:rPr>
          <w:rFonts w:ascii="Aptos" w:hAnsi="Aptos" w:cs="Arial"/>
          <w:bCs/>
          <w:sz w:val="20"/>
        </w:rPr>
        <w:t>Moved to February 6</w:t>
      </w:r>
      <w:r w:rsidRPr="00F9449A">
        <w:rPr>
          <w:rFonts w:ascii="Aptos" w:hAnsi="Aptos" w:cs="Arial"/>
          <w:bCs/>
          <w:sz w:val="20"/>
          <w:vertAlign w:val="superscript"/>
        </w:rPr>
        <w:t>th</w:t>
      </w:r>
      <w:r>
        <w:rPr>
          <w:rFonts w:ascii="Aptos" w:hAnsi="Aptos" w:cs="Arial"/>
          <w:bCs/>
          <w:sz w:val="20"/>
        </w:rPr>
        <w:t xml:space="preserve"> meeting.</w:t>
      </w:r>
    </w:p>
    <w:p w14:paraId="400E64A0" w14:textId="40E4C886" w:rsidR="005537A4" w:rsidRPr="000A79EC" w:rsidRDefault="005537A4" w:rsidP="005537A4">
      <w:pPr>
        <w:pStyle w:val="ListParagraph"/>
        <w:numPr>
          <w:ilvl w:val="2"/>
          <w:numId w:val="1"/>
        </w:numPr>
        <w:rPr>
          <w:rFonts w:ascii="Aptos" w:hAnsi="Aptos" w:cs="Arial"/>
          <w:b/>
          <w:sz w:val="20"/>
        </w:rPr>
      </w:pPr>
      <w:r>
        <w:rPr>
          <w:rFonts w:ascii="Aptos" w:hAnsi="Aptos" w:cs="Arial"/>
          <w:sz w:val="20"/>
          <w:szCs w:val="20"/>
        </w:rPr>
        <w:t>Do the Common Course Numbering courses need General Education approval?</w:t>
      </w: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117DF19A"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2671F0" w:rsidRPr="002671F0">
              <w:rPr>
                <w:rFonts w:ascii="Aptos" w:hAnsi="Aptos" w:cs="Arial"/>
                <w:b/>
              </w:rPr>
              <w:t xml:space="preserve">February 6, 2026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833ADD38"/>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6290B484">
      <w:start w:val="1"/>
      <w:numFmt w:val="lowerRoman"/>
      <w:lvlText w:val="%3."/>
      <w:lvlJc w:val="right"/>
      <w:pPr>
        <w:ind w:left="2160" w:hanging="180"/>
      </w:pPr>
      <w:rPr>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93A7F"/>
    <w:multiLevelType w:val="hybridMultilevel"/>
    <w:tmpl w:val="8190039E"/>
    <w:lvl w:ilvl="0" w:tplc="95602D6C">
      <w:start w:val="1"/>
      <w:numFmt w:val="decimal"/>
      <w:lvlText w:val="%1."/>
      <w:lvlJc w:val="left"/>
      <w:pPr>
        <w:ind w:left="720" w:hanging="360"/>
      </w:pPr>
      <w:rPr>
        <w:rFonts w:hint="default"/>
        <w:b/>
      </w:rPr>
    </w:lvl>
    <w:lvl w:ilvl="1" w:tplc="63948D8C">
      <w:start w:val="1"/>
      <w:numFmt w:val="lowerLetter"/>
      <w:lvlText w:val="%2."/>
      <w:lvlJc w:val="left"/>
      <w:pPr>
        <w:ind w:left="1008" w:hanging="288"/>
      </w:pPr>
      <w:rPr>
        <w:rFonts w:hint="default"/>
        <w:b w:val="0"/>
        <w:i w:val="0"/>
      </w:rPr>
    </w:lvl>
    <w:lvl w:ilvl="2" w:tplc="EA763E0A">
      <w:start w:val="1"/>
      <w:numFmt w:val="lowerRoman"/>
      <w:lvlText w:val="%3."/>
      <w:lvlJc w:val="right"/>
      <w:pPr>
        <w:ind w:left="1512" w:hanging="216"/>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2281D"/>
    <w:multiLevelType w:val="hybridMultilevel"/>
    <w:tmpl w:val="27AA1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5"/>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20"/>
  </w:num>
  <w:num w:numId="8" w16cid:durableId="212468548">
    <w:abstractNumId w:val="15"/>
  </w:num>
  <w:num w:numId="9" w16cid:durableId="755324174">
    <w:abstractNumId w:val="21"/>
  </w:num>
  <w:num w:numId="10" w16cid:durableId="181553503">
    <w:abstractNumId w:val="0"/>
  </w:num>
  <w:num w:numId="11" w16cid:durableId="372190587">
    <w:abstractNumId w:val="5"/>
  </w:num>
  <w:num w:numId="12" w16cid:durableId="621493775">
    <w:abstractNumId w:val="30"/>
  </w:num>
  <w:num w:numId="13" w16cid:durableId="1175341692">
    <w:abstractNumId w:val="12"/>
  </w:num>
  <w:num w:numId="14" w16cid:durableId="1460298162">
    <w:abstractNumId w:val="18"/>
  </w:num>
  <w:num w:numId="15" w16cid:durableId="393167489">
    <w:abstractNumId w:val="24"/>
  </w:num>
  <w:num w:numId="16" w16cid:durableId="179316711">
    <w:abstractNumId w:val="22"/>
  </w:num>
  <w:num w:numId="17" w16cid:durableId="103230548">
    <w:abstractNumId w:val="6"/>
  </w:num>
  <w:num w:numId="18" w16cid:durableId="230427402">
    <w:abstractNumId w:val="1"/>
  </w:num>
  <w:num w:numId="19" w16cid:durableId="953949247">
    <w:abstractNumId w:val="29"/>
  </w:num>
  <w:num w:numId="20" w16cid:durableId="1800878150">
    <w:abstractNumId w:val="23"/>
  </w:num>
  <w:num w:numId="21" w16cid:durableId="1256785328">
    <w:abstractNumId w:val="16"/>
  </w:num>
  <w:num w:numId="22" w16cid:durableId="1461801911">
    <w:abstractNumId w:val="11"/>
  </w:num>
  <w:num w:numId="23" w16cid:durableId="1028067271">
    <w:abstractNumId w:val="17"/>
  </w:num>
  <w:num w:numId="24" w16cid:durableId="2025980959">
    <w:abstractNumId w:val="26"/>
  </w:num>
  <w:num w:numId="25" w16cid:durableId="1394233700">
    <w:abstractNumId w:val="3"/>
  </w:num>
  <w:num w:numId="26" w16cid:durableId="303973606">
    <w:abstractNumId w:val="9"/>
  </w:num>
  <w:num w:numId="27" w16cid:durableId="1070230574">
    <w:abstractNumId w:val="28"/>
  </w:num>
  <w:num w:numId="28" w16cid:durableId="1715930581">
    <w:abstractNumId w:val="8"/>
  </w:num>
  <w:num w:numId="29" w16cid:durableId="777943308">
    <w:abstractNumId w:val="27"/>
  </w:num>
  <w:num w:numId="30" w16cid:durableId="1172643230">
    <w:abstractNumId w:val="19"/>
  </w:num>
  <w:num w:numId="31" w16cid:durableId="579602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566C"/>
    <w:rsid w:val="00025D27"/>
    <w:rsid w:val="00027CC0"/>
    <w:rsid w:val="000302EA"/>
    <w:rsid w:val="0003333D"/>
    <w:rsid w:val="00034494"/>
    <w:rsid w:val="000406C5"/>
    <w:rsid w:val="00046900"/>
    <w:rsid w:val="00057382"/>
    <w:rsid w:val="0006019C"/>
    <w:rsid w:val="00085030"/>
    <w:rsid w:val="00091E03"/>
    <w:rsid w:val="000949FE"/>
    <w:rsid w:val="00097C2C"/>
    <w:rsid w:val="000A2735"/>
    <w:rsid w:val="000A79EC"/>
    <w:rsid w:val="000C1504"/>
    <w:rsid w:val="000C7E2B"/>
    <w:rsid w:val="000D200C"/>
    <w:rsid w:val="000F7A21"/>
    <w:rsid w:val="00111949"/>
    <w:rsid w:val="00122B52"/>
    <w:rsid w:val="00130FF7"/>
    <w:rsid w:val="001326D7"/>
    <w:rsid w:val="001430BF"/>
    <w:rsid w:val="001543B3"/>
    <w:rsid w:val="001547F2"/>
    <w:rsid w:val="001755E2"/>
    <w:rsid w:val="0018454E"/>
    <w:rsid w:val="001868A4"/>
    <w:rsid w:val="001901CF"/>
    <w:rsid w:val="00194C6C"/>
    <w:rsid w:val="001A3F49"/>
    <w:rsid w:val="001A5281"/>
    <w:rsid w:val="001D5EC1"/>
    <w:rsid w:val="001D7331"/>
    <w:rsid w:val="001E599B"/>
    <w:rsid w:val="001F0889"/>
    <w:rsid w:val="001F3ACF"/>
    <w:rsid w:val="001F3C9D"/>
    <w:rsid w:val="002120B3"/>
    <w:rsid w:val="002163E5"/>
    <w:rsid w:val="002204C8"/>
    <w:rsid w:val="0022252A"/>
    <w:rsid w:val="00232179"/>
    <w:rsid w:val="002332B0"/>
    <w:rsid w:val="00241A94"/>
    <w:rsid w:val="00245663"/>
    <w:rsid w:val="002534BC"/>
    <w:rsid w:val="00253B5D"/>
    <w:rsid w:val="002671F0"/>
    <w:rsid w:val="0027037B"/>
    <w:rsid w:val="00277349"/>
    <w:rsid w:val="00282461"/>
    <w:rsid w:val="00294789"/>
    <w:rsid w:val="00295A56"/>
    <w:rsid w:val="002A3F78"/>
    <w:rsid w:val="002D2A14"/>
    <w:rsid w:val="002E6CFE"/>
    <w:rsid w:val="003238B9"/>
    <w:rsid w:val="00326B5E"/>
    <w:rsid w:val="00326CD1"/>
    <w:rsid w:val="00332E11"/>
    <w:rsid w:val="0033326D"/>
    <w:rsid w:val="00334C55"/>
    <w:rsid w:val="00342463"/>
    <w:rsid w:val="00344072"/>
    <w:rsid w:val="00344EE8"/>
    <w:rsid w:val="00345C13"/>
    <w:rsid w:val="003610C6"/>
    <w:rsid w:val="003851AC"/>
    <w:rsid w:val="00397092"/>
    <w:rsid w:val="00397A90"/>
    <w:rsid w:val="003A08AF"/>
    <w:rsid w:val="003A1607"/>
    <w:rsid w:val="003A5C47"/>
    <w:rsid w:val="003B77B5"/>
    <w:rsid w:val="003B78B8"/>
    <w:rsid w:val="003C7166"/>
    <w:rsid w:val="0041117A"/>
    <w:rsid w:val="00415A4E"/>
    <w:rsid w:val="0041786C"/>
    <w:rsid w:val="004230C7"/>
    <w:rsid w:val="0043515B"/>
    <w:rsid w:val="0044720D"/>
    <w:rsid w:val="004513E6"/>
    <w:rsid w:val="0045398E"/>
    <w:rsid w:val="0045518B"/>
    <w:rsid w:val="00467071"/>
    <w:rsid w:val="004674B9"/>
    <w:rsid w:val="00471F20"/>
    <w:rsid w:val="00482FBC"/>
    <w:rsid w:val="00490B10"/>
    <w:rsid w:val="004A53A3"/>
    <w:rsid w:val="004C6517"/>
    <w:rsid w:val="004D599E"/>
    <w:rsid w:val="004D7D2F"/>
    <w:rsid w:val="004E3B8F"/>
    <w:rsid w:val="004E447D"/>
    <w:rsid w:val="004E75F0"/>
    <w:rsid w:val="004F4E44"/>
    <w:rsid w:val="004F556C"/>
    <w:rsid w:val="004F77B0"/>
    <w:rsid w:val="005014A3"/>
    <w:rsid w:val="00523787"/>
    <w:rsid w:val="00523D34"/>
    <w:rsid w:val="0053024D"/>
    <w:rsid w:val="00531FFF"/>
    <w:rsid w:val="00547859"/>
    <w:rsid w:val="005537A4"/>
    <w:rsid w:val="00561712"/>
    <w:rsid w:val="005A4A35"/>
    <w:rsid w:val="005D05FC"/>
    <w:rsid w:val="005E37BC"/>
    <w:rsid w:val="005F458C"/>
    <w:rsid w:val="00602208"/>
    <w:rsid w:val="00605715"/>
    <w:rsid w:val="00620B8A"/>
    <w:rsid w:val="00623384"/>
    <w:rsid w:val="00623EF7"/>
    <w:rsid w:val="00626386"/>
    <w:rsid w:val="00630D4D"/>
    <w:rsid w:val="00643F9C"/>
    <w:rsid w:val="006615AF"/>
    <w:rsid w:val="006741BE"/>
    <w:rsid w:val="0067577C"/>
    <w:rsid w:val="00680535"/>
    <w:rsid w:val="006926AB"/>
    <w:rsid w:val="006B629E"/>
    <w:rsid w:val="006C749E"/>
    <w:rsid w:val="006E0B39"/>
    <w:rsid w:val="006E0E95"/>
    <w:rsid w:val="006F0E69"/>
    <w:rsid w:val="00720800"/>
    <w:rsid w:val="0073598E"/>
    <w:rsid w:val="007372CF"/>
    <w:rsid w:val="00742CAB"/>
    <w:rsid w:val="0075544B"/>
    <w:rsid w:val="007600ED"/>
    <w:rsid w:val="007A2BDE"/>
    <w:rsid w:val="007A310B"/>
    <w:rsid w:val="007A3B89"/>
    <w:rsid w:val="007B755A"/>
    <w:rsid w:val="007C4B25"/>
    <w:rsid w:val="007C53A2"/>
    <w:rsid w:val="007D2930"/>
    <w:rsid w:val="007E5ECD"/>
    <w:rsid w:val="007F3950"/>
    <w:rsid w:val="007F40F8"/>
    <w:rsid w:val="0080784C"/>
    <w:rsid w:val="00812C57"/>
    <w:rsid w:val="008154FE"/>
    <w:rsid w:val="0082436D"/>
    <w:rsid w:val="00825923"/>
    <w:rsid w:val="00836635"/>
    <w:rsid w:val="00842571"/>
    <w:rsid w:val="008431C7"/>
    <w:rsid w:val="00846151"/>
    <w:rsid w:val="008747C0"/>
    <w:rsid w:val="00883070"/>
    <w:rsid w:val="0089191D"/>
    <w:rsid w:val="008A5377"/>
    <w:rsid w:val="008A68A8"/>
    <w:rsid w:val="008B170A"/>
    <w:rsid w:val="008D11E9"/>
    <w:rsid w:val="008E0AE1"/>
    <w:rsid w:val="008F21CC"/>
    <w:rsid w:val="008F2483"/>
    <w:rsid w:val="008F6D8D"/>
    <w:rsid w:val="0090318D"/>
    <w:rsid w:val="00907347"/>
    <w:rsid w:val="00912CB7"/>
    <w:rsid w:val="00927BF7"/>
    <w:rsid w:val="00930416"/>
    <w:rsid w:val="00944AEC"/>
    <w:rsid w:val="009511FC"/>
    <w:rsid w:val="00955EA8"/>
    <w:rsid w:val="009615FD"/>
    <w:rsid w:val="00970554"/>
    <w:rsid w:val="00973835"/>
    <w:rsid w:val="009826B5"/>
    <w:rsid w:val="00990590"/>
    <w:rsid w:val="009965F7"/>
    <w:rsid w:val="009A39D8"/>
    <w:rsid w:val="009B2190"/>
    <w:rsid w:val="009C7343"/>
    <w:rsid w:val="009D6936"/>
    <w:rsid w:val="009E016D"/>
    <w:rsid w:val="009E0C7D"/>
    <w:rsid w:val="00A30184"/>
    <w:rsid w:val="00A324C8"/>
    <w:rsid w:val="00A475DA"/>
    <w:rsid w:val="00A71E6D"/>
    <w:rsid w:val="00A73B7D"/>
    <w:rsid w:val="00A80DCC"/>
    <w:rsid w:val="00A82E12"/>
    <w:rsid w:val="00A95B15"/>
    <w:rsid w:val="00AD1B10"/>
    <w:rsid w:val="00AF0E1A"/>
    <w:rsid w:val="00B029EB"/>
    <w:rsid w:val="00B10771"/>
    <w:rsid w:val="00B15799"/>
    <w:rsid w:val="00B21C28"/>
    <w:rsid w:val="00B429AD"/>
    <w:rsid w:val="00B5503D"/>
    <w:rsid w:val="00B55500"/>
    <w:rsid w:val="00B72F24"/>
    <w:rsid w:val="00B9474D"/>
    <w:rsid w:val="00BA0C12"/>
    <w:rsid w:val="00BB13BB"/>
    <w:rsid w:val="00BB5B5C"/>
    <w:rsid w:val="00BB6576"/>
    <w:rsid w:val="00BC58B2"/>
    <w:rsid w:val="00BD75A0"/>
    <w:rsid w:val="00BD7DF0"/>
    <w:rsid w:val="00BE3A60"/>
    <w:rsid w:val="00C006BA"/>
    <w:rsid w:val="00C016B6"/>
    <w:rsid w:val="00C030C2"/>
    <w:rsid w:val="00C06437"/>
    <w:rsid w:val="00C231D3"/>
    <w:rsid w:val="00C25075"/>
    <w:rsid w:val="00C31B8A"/>
    <w:rsid w:val="00C32433"/>
    <w:rsid w:val="00C379AC"/>
    <w:rsid w:val="00C454F0"/>
    <w:rsid w:val="00C5033F"/>
    <w:rsid w:val="00C60127"/>
    <w:rsid w:val="00C73970"/>
    <w:rsid w:val="00C765DC"/>
    <w:rsid w:val="00C915F8"/>
    <w:rsid w:val="00C92F23"/>
    <w:rsid w:val="00C94412"/>
    <w:rsid w:val="00CA03E4"/>
    <w:rsid w:val="00CA4EEA"/>
    <w:rsid w:val="00CB27EB"/>
    <w:rsid w:val="00CB4226"/>
    <w:rsid w:val="00CB5B24"/>
    <w:rsid w:val="00CC7735"/>
    <w:rsid w:val="00CD6B7A"/>
    <w:rsid w:val="00CE0C98"/>
    <w:rsid w:val="00CE24BC"/>
    <w:rsid w:val="00CE3F55"/>
    <w:rsid w:val="00CF7012"/>
    <w:rsid w:val="00D02BDA"/>
    <w:rsid w:val="00D05D12"/>
    <w:rsid w:val="00D07C69"/>
    <w:rsid w:val="00D1376F"/>
    <w:rsid w:val="00D17502"/>
    <w:rsid w:val="00D17AB4"/>
    <w:rsid w:val="00D260EF"/>
    <w:rsid w:val="00D30412"/>
    <w:rsid w:val="00D3305B"/>
    <w:rsid w:val="00D3371F"/>
    <w:rsid w:val="00D35C51"/>
    <w:rsid w:val="00D65752"/>
    <w:rsid w:val="00D82E21"/>
    <w:rsid w:val="00D854BD"/>
    <w:rsid w:val="00D93134"/>
    <w:rsid w:val="00DB2A59"/>
    <w:rsid w:val="00DB57A8"/>
    <w:rsid w:val="00DC050C"/>
    <w:rsid w:val="00DD0EE6"/>
    <w:rsid w:val="00DD2F4F"/>
    <w:rsid w:val="00DD7BD3"/>
    <w:rsid w:val="00DD7CEB"/>
    <w:rsid w:val="00DF1030"/>
    <w:rsid w:val="00DF4488"/>
    <w:rsid w:val="00E02E9A"/>
    <w:rsid w:val="00E12289"/>
    <w:rsid w:val="00E16F73"/>
    <w:rsid w:val="00E20D3C"/>
    <w:rsid w:val="00E30FE9"/>
    <w:rsid w:val="00E4103D"/>
    <w:rsid w:val="00E43D2F"/>
    <w:rsid w:val="00E44652"/>
    <w:rsid w:val="00E55743"/>
    <w:rsid w:val="00E57977"/>
    <w:rsid w:val="00E7022F"/>
    <w:rsid w:val="00E73E7C"/>
    <w:rsid w:val="00E76B72"/>
    <w:rsid w:val="00E91856"/>
    <w:rsid w:val="00E932D5"/>
    <w:rsid w:val="00E9662D"/>
    <w:rsid w:val="00E9736C"/>
    <w:rsid w:val="00EA721E"/>
    <w:rsid w:val="00EC0D62"/>
    <w:rsid w:val="00EC1E0F"/>
    <w:rsid w:val="00ED092E"/>
    <w:rsid w:val="00ED28A9"/>
    <w:rsid w:val="00EE20F9"/>
    <w:rsid w:val="00EF7205"/>
    <w:rsid w:val="00F00254"/>
    <w:rsid w:val="00F04CD7"/>
    <w:rsid w:val="00F14CEF"/>
    <w:rsid w:val="00F2045B"/>
    <w:rsid w:val="00F503D9"/>
    <w:rsid w:val="00F60624"/>
    <w:rsid w:val="00F61C1F"/>
    <w:rsid w:val="00F723EE"/>
    <w:rsid w:val="00F81E3F"/>
    <w:rsid w:val="00F9449A"/>
    <w:rsid w:val="00F947B1"/>
    <w:rsid w:val="00FA203A"/>
    <w:rsid w:val="00FB1DBA"/>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52</cp:revision>
  <dcterms:created xsi:type="dcterms:W3CDTF">2025-06-10T18:46:00Z</dcterms:created>
  <dcterms:modified xsi:type="dcterms:W3CDTF">2026-01-16T17:29:00Z</dcterms:modified>
</cp:coreProperties>
</file>